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 методической работы школы за учебный 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Аналитико-статистическая таблица для анализа методической работы школы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Показатель в прошлом периоде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Фактический показатель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целевому показателю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Динамика в сравнении с тем же периодом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прошлого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педагогов, принявших участие в диагностике профкомпетенций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 с высшей квалификационной категорией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 с высшей квалификационной категорией «педагог-методист»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 с высшей квалификационной категорией «педагог-наставник»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 с первой квалификационной категорией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педагогов, вовлеченных в реализацию программы наставничества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педагогов, принимающих участие в создании методических и дидактических материалов, в том числе и электронных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педагогов, участвующих в профессиональных конкурсах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педагогов-победителей и призеров конкурсов профессионального мастерства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Доля педагогов, принимающих участие в работе сетевых педагогических сообществ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семинаров уровня выше школьного, проведенных на базе школы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открытых уроков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семинаров, посещенных педагогами школы, из них – с представлением опыта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предметных и тематических недель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Выводы.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ходе методической работы достигнуты целевые показатели по следующим критериям: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достигнуты целевые показатели по критериям: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Методическая работа способствует росту уровня профессиональных компетенций педагогов, повышению уровня профессионального мастерства.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Удовлетворены организацией методической работы в школе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 педагогических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Руководителям методических объединений: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Педагогическим работникам: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f830064b3f4e3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